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Pr>
          <w:rFonts w:ascii="Calibri" w:eastAsia="Times New Roman" w:hAnsi="Calibri" w:cs="Calibri"/>
          <w:color w:val="000000"/>
          <w:sz w:val="24"/>
          <w:szCs w:val="24"/>
          <w:lang w:eastAsia="es-AR"/>
        </w:rPr>
        <w:t>Estimados,</w:t>
      </w:r>
    </w:p>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Pr>
          <w:rFonts w:ascii="Calibri" w:eastAsia="Times New Roman" w:hAnsi="Calibri" w:cs="Calibri"/>
          <w:color w:val="000000"/>
          <w:sz w:val="24"/>
          <w:szCs w:val="24"/>
          <w:lang w:eastAsia="es-AR"/>
        </w:rPr>
        <w:t>Les compartimos</w:t>
      </w:r>
      <w:r w:rsidRPr="00CE44EA">
        <w:rPr>
          <w:rFonts w:ascii="Calibri" w:eastAsia="Times New Roman" w:hAnsi="Calibri" w:cs="Calibri"/>
          <w:color w:val="000000"/>
          <w:sz w:val="24"/>
          <w:szCs w:val="24"/>
          <w:lang w:eastAsia="es-AR"/>
        </w:rPr>
        <w:t xml:space="preserve"> a continuación el instructivo para </w:t>
      </w:r>
      <w:r>
        <w:rPr>
          <w:rFonts w:ascii="Calibri" w:eastAsia="Times New Roman" w:hAnsi="Calibri" w:cs="Calibri"/>
          <w:color w:val="000000"/>
          <w:sz w:val="24"/>
          <w:szCs w:val="24"/>
          <w:lang w:eastAsia="es-AR"/>
        </w:rPr>
        <w:t xml:space="preserve">quienes estén </w:t>
      </w:r>
      <w:r w:rsidRPr="00CE44EA">
        <w:rPr>
          <w:rFonts w:ascii="Calibri" w:eastAsia="Times New Roman" w:hAnsi="Calibri" w:cs="Calibri"/>
          <w:color w:val="000000"/>
          <w:sz w:val="24"/>
          <w:szCs w:val="24"/>
          <w:lang w:eastAsia="es-AR"/>
        </w:rPr>
        <w:t>interesados en migrar sus líneas al convenio de Claro mediante portabilidad desde MVS.</w:t>
      </w:r>
    </w:p>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Para poder avanzar con cada solicitud, es necesario que los asociados envíen</w:t>
      </w:r>
      <w:r>
        <w:rPr>
          <w:rFonts w:ascii="Calibri" w:eastAsia="Times New Roman" w:hAnsi="Calibri" w:cs="Calibri"/>
          <w:color w:val="000000"/>
          <w:sz w:val="24"/>
          <w:szCs w:val="24"/>
          <w:lang w:eastAsia="es-AR"/>
        </w:rPr>
        <w:t xml:space="preserve"> </w:t>
      </w:r>
      <w:proofErr w:type="spellStart"/>
      <w:r>
        <w:rPr>
          <w:rFonts w:ascii="Calibri" w:eastAsia="Times New Roman" w:hAnsi="Calibri" w:cs="Calibri"/>
          <w:color w:val="000000"/>
          <w:sz w:val="24"/>
          <w:szCs w:val="24"/>
          <w:lang w:eastAsia="es-AR"/>
        </w:rPr>
        <w:t>via</w:t>
      </w:r>
      <w:proofErr w:type="spellEnd"/>
      <w:r>
        <w:rPr>
          <w:rFonts w:ascii="Calibri" w:eastAsia="Times New Roman" w:hAnsi="Calibri" w:cs="Calibri"/>
          <w:color w:val="000000"/>
          <w:sz w:val="24"/>
          <w:szCs w:val="24"/>
          <w:lang w:eastAsia="es-AR"/>
        </w:rPr>
        <w:t xml:space="preserve"> mail a  </w:t>
      </w:r>
      <w:r w:rsidRPr="00CE44EA">
        <w:rPr>
          <w:rFonts w:ascii="Calibri" w:eastAsia="Times New Roman" w:hAnsi="Calibri" w:cs="Calibri"/>
          <w:color w:val="000000"/>
          <w:sz w:val="24"/>
          <w:szCs w:val="24"/>
          <w:lang w:eastAsia="es-AR"/>
        </w:rPr>
        <w:t xml:space="preserve"> </w:t>
      </w:r>
      <w:hyperlink r:id="rId5" w:history="1">
        <w:r w:rsidRPr="003718E9">
          <w:rPr>
            <w:rStyle w:val="Hipervnculo"/>
            <w:rFonts w:ascii="Calibri" w:eastAsia="Times New Roman" w:hAnsi="Calibri" w:cs="Calibri"/>
            <w:sz w:val="24"/>
            <w:szCs w:val="24"/>
            <w:lang w:eastAsia="es-AR"/>
          </w:rPr>
          <w:t>ivan.hernandez@claro.com.ar</w:t>
        </w:r>
      </w:hyperlink>
      <w:r>
        <w:rPr>
          <w:rFonts w:ascii="Calibri" w:eastAsia="Times New Roman" w:hAnsi="Calibri" w:cs="Calibri"/>
          <w:color w:val="000000"/>
          <w:sz w:val="24"/>
          <w:szCs w:val="24"/>
          <w:lang w:eastAsia="es-AR"/>
        </w:rPr>
        <w:t xml:space="preserve"> </w:t>
      </w:r>
      <w:r w:rsidRPr="00CE44EA">
        <w:rPr>
          <w:rFonts w:ascii="Calibri" w:eastAsia="Times New Roman" w:hAnsi="Calibri" w:cs="Calibri"/>
          <w:color w:val="000000"/>
          <w:sz w:val="24"/>
          <w:szCs w:val="24"/>
          <w:lang w:eastAsia="es-AR"/>
        </w:rPr>
        <w:t xml:space="preserve"> la siguiente información:</w:t>
      </w:r>
    </w:p>
    <w:p w:rsidR="00CE44EA" w:rsidRPr="00CE44EA" w:rsidRDefault="00CE44EA" w:rsidP="00CE44EA">
      <w:pPr>
        <w:numPr>
          <w:ilvl w:val="0"/>
          <w:numId w:val="1"/>
        </w:numPr>
        <w:shd w:val="clear" w:color="auto" w:fill="FFFFFF"/>
        <w:spacing w:before="100" w:beforeAutospacing="1" w:after="100" w:afterAutospacing="1" w:line="240" w:lineRule="auto"/>
        <w:ind w:left="945"/>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Números de línea a portar</w:t>
      </w:r>
    </w:p>
    <w:p w:rsidR="00CE44EA" w:rsidRPr="00CE44EA" w:rsidRDefault="00CE44EA" w:rsidP="00CE44EA">
      <w:pPr>
        <w:numPr>
          <w:ilvl w:val="0"/>
          <w:numId w:val="1"/>
        </w:numPr>
        <w:shd w:val="clear" w:color="auto" w:fill="FFFFFF"/>
        <w:spacing w:before="100" w:beforeAutospacing="1" w:after="100" w:afterAutospacing="1" w:line="240" w:lineRule="auto"/>
        <w:ind w:left="945"/>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Código de plan</w:t>
      </w:r>
      <w:r w:rsidRPr="00CE44EA">
        <w:rPr>
          <w:rFonts w:ascii="Calibri" w:eastAsia="Times New Roman" w:hAnsi="Calibri" w:cs="Calibri"/>
          <w:color w:val="000000"/>
          <w:sz w:val="24"/>
          <w:szCs w:val="24"/>
          <w:lang w:eastAsia="es-AR"/>
        </w:rPr>
        <w:t xml:space="preserve"> a asignar a cada línea (según oferta adjunta). </w:t>
      </w:r>
      <w:r>
        <w:rPr>
          <w:rFonts w:ascii="Calibri" w:eastAsia="Times New Roman" w:hAnsi="Calibri" w:cs="Calibri"/>
          <w:color w:val="000000"/>
          <w:sz w:val="24"/>
          <w:szCs w:val="24"/>
          <w:lang w:eastAsia="es-AR"/>
        </w:rPr>
        <w:t>Se recomienda</w:t>
      </w:r>
      <w:r w:rsidRPr="00CE44EA">
        <w:rPr>
          <w:rFonts w:ascii="Calibri" w:eastAsia="Times New Roman" w:hAnsi="Calibri" w:cs="Calibri"/>
          <w:color w:val="000000"/>
          <w:sz w:val="24"/>
          <w:szCs w:val="24"/>
          <w:lang w:eastAsia="es-AR"/>
        </w:rPr>
        <w:t xml:space="preserve"> que cada asociado elija un plan único para todas sus líneas por un tema de orden, luego del primer mes pueden poner el que deseen. En caso de desearlo pueden elegir el que quieran.</w:t>
      </w:r>
    </w:p>
    <w:p w:rsidR="00CE44EA" w:rsidRPr="00CE44EA" w:rsidRDefault="00CE44EA" w:rsidP="00296752">
      <w:pPr>
        <w:numPr>
          <w:ilvl w:val="0"/>
          <w:numId w:val="1"/>
        </w:numPr>
        <w:shd w:val="clear" w:color="auto" w:fill="FFFFFF"/>
        <w:spacing w:before="100" w:beforeAutospacing="1" w:after="100" w:afterAutospacing="1" w:line="240" w:lineRule="auto"/>
        <w:ind w:left="945"/>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Línea cabecera</w:t>
      </w:r>
      <w:r w:rsidRPr="00CE44EA">
        <w:rPr>
          <w:rFonts w:ascii="Calibri" w:eastAsia="Times New Roman" w:hAnsi="Calibri" w:cs="Calibri"/>
          <w:color w:val="000000"/>
          <w:sz w:val="24"/>
          <w:szCs w:val="24"/>
          <w:lang w:eastAsia="es-AR"/>
        </w:rPr>
        <w:t> (será la que reciba el PIN de porta</w:t>
      </w:r>
      <w:r w:rsidR="00296752">
        <w:rPr>
          <w:rFonts w:ascii="Calibri" w:eastAsia="Times New Roman" w:hAnsi="Calibri" w:cs="Calibri"/>
          <w:color w:val="000000"/>
          <w:sz w:val="24"/>
          <w:szCs w:val="24"/>
          <w:lang w:eastAsia="es-AR"/>
        </w:rPr>
        <w:t>bilidad para iniciar la gestión).</w:t>
      </w:r>
      <w:bookmarkStart w:id="0" w:name="_GoBack"/>
      <w:bookmarkEnd w:id="0"/>
    </w:p>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Pr>
          <w:rFonts w:ascii="Calibri" w:eastAsia="Times New Roman" w:hAnsi="Calibri" w:cs="Calibri"/>
          <w:color w:val="000000"/>
          <w:sz w:val="24"/>
          <w:szCs w:val="24"/>
          <w:lang w:eastAsia="es-AR"/>
        </w:rPr>
        <w:t xml:space="preserve">Se </w:t>
      </w:r>
      <w:proofErr w:type="spellStart"/>
      <w:r>
        <w:rPr>
          <w:rFonts w:ascii="Calibri" w:eastAsia="Times New Roman" w:hAnsi="Calibri" w:cs="Calibri"/>
          <w:color w:val="000000"/>
          <w:sz w:val="24"/>
          <w:szCs w:val="24"/>
          <w:lang w:eastAsia="es-AR"/>
        </w:rPr>
        <w:t>a</w:t>
      </w:r>
      <w:r w:rsidRPr="00CE44EA">
        <w:rPr>
          <w:rFonts w:ascii="Calibri" w:eastAsia="Times New Roman" w:hAnsi="Calibri" w:cs="Calibri"/>
          <w:color w:val="000000"/>
          <w:sz w:val="24"/>
          <w:szCs w:val="24"/>
          <w:lang w:eastAsia="es-AR"/>
        </w:rPr>
        <w:t>djunto</w:t>
      </w:r>
      <w:proofErr w:type="spellEnd"/>
      <w:r w:rsidRPr="00CE44EA">
        <w:rPr>
          <w:rFonts w:ascii="Calibri" w:eastAsia="Times New Roman" w:hAnsi="Calibri" w:cs="Calibri"/>
          <w:color w:val="000000"/>
          <w:sz w:val="24"/>
          <w:szCs w:val="24"/>
          <w:lang w:eastAsia="es-AR"/>
        </w:rPr>
        <w:t xml:space="preserve"> la oferta comercial vigente, donde podrán visualizar los códigos de plan, los GB incluidos y los costos correspondientes, a fin de completar correctamente la información solicitada.</w:t>
      </w:r>
    </w:p>
    <w:tbl>
      <w:tblPr>
        <w:tblW w:w="5420" w:type="dxa"/>
        <w:shd w:val="clear" w:color="auto" w:fill="FFFFFF"/>
        <w:tblCellMar>
          <w:left w:w="0" w:type="dxa"/>
          <w:right w:w="0" w:type="dxa"/>
        </w:tblCellMar>
        <w:tblLook w:val="04A0" w:firstRow="1" w:lastRow="0" w:firstColumn="1" w:lastColumn="0" w:noHBand="0" w:noVBand="1"/>
      </w:tblPr>
      <w:tblGrid>
        <w:gridCol w:w="1500"/>
        <w:gridCol w:w="2503"/>
        <w:gridCol w:w="1500"/>
      </w:tblGrid>
      <w:tr w:rsidR="00CE44EA" w:rsidRPr="00CE44EA" w:rsidTr="00CE44EA">
        <w:trPr>
          <w:trHeight w:val="225"/>
        </w:trPr>
        <w:tc>
          <w:tcPr>
            <w:tcW w:w="1500" w:type="dxa"/>
            <w:tcBorders>
              <w:top w:val="single" w:sz="8" w:space="0" w:color="auto"/>
              <w:left w:val="single" w:sz="8" w:space="0" w:color="auto"/>
              <w:bottom w:val="single" w:sz="8" w:space="0" w:color="auto"/>
              <w:right w:val="single" w:sz="8" w:space="0" w:color="auto"/>
            </w:tcBorders>
            <w:shd w:val="clear" w:color="auto" w:fill="D9E1F2"/>
            <w:noWrap/>
            <w:tcMar>
              <w:top w:w="15" w:type="dxa"/>
              <w:left w:w="15" w:type="dxa"/>
              <w:bottom w:w="0" w:type="dxa"/>
              <w:right w:w="15" w:type="dxa"/>
            </w:tcMar>
            <w:vAlign w:val="bottom"/>
            <w:hideMark/>
          </w:tcPr>
          <w:p w:rsidR="00CE44EA" w:rsidRPr="00CE44EA" w:rsidRDefault="00CE44EA" w:rsidP="00CE44EA">
            <w:pPr>
              <w:spacing w:after="0" w:line="240" w:lineRule="auto"/>
              <w:jc w:val="both"/>
              <w:divId w:val="1198086705"/>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PLAN</w:t>
            </w:r>
          </w:p>
        </w:tc>
        <w:tc>
          <w:tcPr>
            <w:tcW w:w="2420" w:type="dxa"/>
            <w:tcBorders>
              <w:top w:val="single" w:sz="8" w:space="0" w:color="auto"/>
              <w:bottom w:val="single" w:sz="8" w:space="0" w:color="auto"/>
              <w:right w:val="single" w:sz="8" w:space="0" w:color="auto"/>
            </w:tcBorders>
            <w:shd w:val="clear" w:color="auto" w:fill="D9E1F2"/>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Abono por línea FINAL</w:t>
            </w:r>
          </w:p>
        </w:tc>
        <w:tc>
          <w:tcPr>
            <w:tcW w:w="1500" w:type="dxa"/>
            <w:tcBorders>
              <w:top w:val="single" w:sz="8" w:space="0" w:color="auto"/>
              <w:bottom w:val="single" w:sz="8" w:space="0" w:color="auto"/>
              <w:right w:val="single" w:sz="8" w:space="0" w:color="auto"/>
            </w:tcBorders>
            <w:shd w:val="clear" w:color="auto" w:fill="D9E1F2"/>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GB</w:t>
            </w:r>
          </w:p>
        </w:tc>
      </w:tr>
      <w:tr w:rsidR="00CE44EA" w:rsidRPr="00CE44EA" w:rsidTr="00CE44EA">
        <w:trPr>
          <w:trHeight w:val="225"/>
        </w:trPr>
        <w:tc>
          <w:tcPr>
            <w:tcW w:w="1500" w:type="dxa"/>
            <w:tcBorders>
              <w:left w:val="single" w:sz="8" w:space="0" w:color="auto"/>
              <w:bottom w:val="single" w:sz="8" w:space="0" w:color="auto"/>
              <w:right w:val="single" w:sz="8" w:space="0" w:color="auto"/>
            </w:tcBorders>
            <w:shd w:val="clear" w:color="auto" w:fill="FFFFFF"/>
            <w:noWrap/>
            <w:tcMar>
              <w:top w:w="15" w:type="dxa"/>
              <w:left w:w="15" w:type="dxa"/>
              <w:bottom w:w="0" w:type="dxa"/>
              <w:right w:w="15" w:type="dxa"/>
            </w:tcMar>
            <w:vAlign w:val="bottom"/>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CC10R</w:t>
            </w:r>
          </w:p>
        </w:tc>
        <w:tc>
          <w:tcPr>
            <w:tcW w:w="2420" w:type="dxa"/>
            <w:tcBorders>
              <w:bottom w:val="single" w:sz="4" w:space="0" w:color="auto"/>
              <w:right w:val="single" w:sz="4"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                                4.572</w:t>
            </w:r>
          </w:p>
        </w:tc>
        <w:tc>
          <w:tcPr>
            <w:tcW w:w="1500" w:type="dxa"/>
            <w:tcBorders>
              <w:top w:val="single" w:sz="4" w:space="0" w:color="auto"/>
              <w:bottom w:val="single" w:sz="4" w:space="0" w:color="auto"/>
              <w:right w:val="single" w:sz="8"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2</w:t>
            </w:r>
          </w:p>
        </w:tc>
      </w:tr>
      <w:tr w:rsidR="00CE44EA" w:rsidRPr="00CE44EA" w:rsidTr="00CE44EA">
        <w:trPr>
          <w:trHeight w:val="225"/>
        </w:trPr>
        <w:tc>
          <w:tcPr>
            <w:tcW w:w="1500" w:type="dxa"/>
            <w:tcBorders>
              <w:left w:val="single" w:sz="8" w:space="0" w:color="auto"/>
              <w:bottom w:val="single" w:sz="8" w:space="0" w:color="auto"/>
              <w:right w:val="single" w:sz="8" w:space="0" w:color="auto"/>
            </w:tcBorders>
            <w:shd w:val="clear" w:color="auto" w:fill="FFFFFF"/>
            <w:noWrap/>
            <w:tcMar>
              <w:top w:w="15" w:type="dxa"/>
              <w:left w:w="15" w:type="dxa"/>
              <w:bottom w:w="0" w:type="dxa"/>
              <w:right w:w="15" w:type="dxa"/>
            </w:tcMar>
            <w:vAlign w:val="bottom"/>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CC11R</w:t>
            </w:r>
          </w:p>
        </w:tc>
        <w:tc>
          <w:tcPr>
            <w:tcW w:w="2420" w:type="dxa"/>
            <w:tcBorders>
              <w:bottom w:val="single" w:sz="4" w:space="0" w:color="auto"/>
              <w:right w:val="single" w:sz="4"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                                6.060</w:t>
            </w:r>
          </w:p>
        </w:tc>
        <w:tc>
          <w:tcPr>
            <w:tcW w:w="1500" w:type="dxa"/>
            <w:tcBorders>
              <w:bottom w:val="single" w:sz="4" w:space="0" w:color="auto"/>
              <w:right w:val="single" w:sz="8"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4</w:t>
            </w:r>
          </w:p>
        </w:tc>
      </w:tr>
      <w:tr w:rsidR="00CE44EA" w:rsidRPr="00CE44EA" w:rsidTr="00CE44EA">
        <w:trPr>
          <w:trHeight w:val="225"/>
        </w:trPr>
        <w:tc>
          <w:tcPr>
            <w:tcW w:w="1500" w:type="dxa"/>
            <w:tcBorders>
              <w:left w:val="single" w:sz="8" w:space="0" w:color="auto"/>
              <w:bottom w:val="single" w:sz="8" w:space="0" w:color="auto"/>
              <w:right w:val="single" w:sz="8" w:space="0" w:color="auto"/>
            </w:tcBorders>
            <w:shd w:val="clear" w:color="auto" w:fill="FFFFFF"/>
            <w:noWrap/>
            <w:tcMar>
              <w:top w:w="15" w:type="dxa"/>
              <w:left w:w="15" w:type="dxa"/>
              <w:bottom w:w="0" w:type="dxa"/>
              <w:right w:w="15" w:type="dxa"/>
            </w:tcMar>
            <w:vAlign w:val="bottom"/>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CC12R</w:t>
            </w:r>
          </w:p>
        </w:tc>
        <w:tc>
          <w:tcPr>
            <w:tcW w:w="2420" w:type="dxa"/>
            <w:tcBorders>
              <w:bottom w:val="single" w:sz="4" w:space="0" w:color="auto"/>
              <w:right w:val="single" w:sz="4"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                                8.258</w:t>
            </w:r>
          </w:p>
        </w:tc>
        <w:tc>
          <w:tcPr>
            <w:tcW w:w="1500" w:type="dxa"/>
            <w:tcBorders>
              <w:bottom w:val="single" w:sz="4" w:space="0" w:color="auto"/>
              <w:right w:val="single" w:sz="8"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7</w:t>
            </w:r>
          </w:p>
        </w:tc>
      </w:tr>
      <w:tr w:rsidR="00CE44EA" w:rsidRPr="00CE44EA" w:rsidTr="00CE44EA">
        <w:trPr>
          <w:trHeight w:val="225"/>
        </w:trPr>
        <w:tc>
          <w:tcPr>
            <w:tcW w:w="1500" w:type="dxa"/>
            <w:tcBorders>
              <w:left w:val="single" w:sz="8" w:space="0" w:color="auto"/>
              <w:bottom w:val="single" w:sz="8" w:space="0" w:color="auto"/>
              <w:right w:val="single" w:sz="8" w:space="0" w:color="auto"/>
            </w:tcBorders>
            <w:shd w:val="clear" w:color="auto" w:fill="FFFFFF"/>
            <w:noWrap/>
            <w:tcMar>
              <w:top w:w="15" w:type="dxa"/>
              <w:left w:w="15" w:type="dxa"/>
              <w:bottom w:w="0" w:type="dxa"/>
              <w:right w:w="15" w:type="dxa"/>
            </w:tcMar>
            <w:vAlign w:val="bottom"/>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CC13R/CC13C</w:t>
            </w:r>
          </w:p>
        </w:tc>
        <w:tc>
          <w:tcPr>
            <w:tcW w:w="2420" w:type="dxa"/>
            <w:tcBorders>
              <w:bottom w:val="single" w:sz="4" w:space="0" w:color="auto"/>
              <w:right w:val="single" w:sz="4"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                              11.894</w:t>
            </w:r>
          </w:p>
        </w:tc>
        <w:tc>
          <w:tcPr>
            <w:tcW w:w="1500" w:type="dxa"/>
            <w:tcBorders>
              <w:bottom w:val="single" w:sz="4" w:space="0" w:color="auto"/>
              <w:right w:val="single" w:sz="8"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10</w:t>
            </w:r>
          </w:p>
        </w:tc>
      </w:tr>
      <w:tr w:rsidR="00CE44EA" w:rsidRPr="00CE44EA" w:rsidTr="00CE44EA">
        <w:trPr>
          <w:trHeight w:val="225"/>
        </w:trPr>
        <w:tc>
          <w:tcPr>
            <w:tcW w:w="1500" w:type="dxa"/>
            <w:tcBorders>
              <w:left w:val="single" w:sz="8" w:space="0" w:color="auto"/>
              <w:bottom w:val="single" w:sz="8" w:space="0" w:color="auto"/>
              <w:right w:val="single" w:sz="8" w:space="0" w:color="auto"/>
            </w:tcBorders>
            <w:shd w:val="clear" w:color="auto" w:fill="FFFFFF"/>
            <w:noWrap/>
            <w:tcMar>
              <w:top w:w="15" w:type="dxa"/>
              <w:left w:w="15" w:type="dxa"/>
              <w:bottom w:w="0" w:type="dxa"/>
              <w:right w:w="15" w:type="dxa"/>
            </w:tcMar>
            <w:vAlign w:val="bottom"/>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CC14R/CC14C</w:t>
            </w:r>
          </w:p>
        </w:tc>
        <w:tc>
          <w:tcPr>
            <w:tcW w:w="2420" w:type="dxa"/>
            <w:tcBorders>
              <w:bottom w:val="single" w:sz="4" w:space="0" w:color="auto"/>
              <w:right w:val="single" w:sz="4"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                              15.537</w:t>
            </w:r>
          </w:p>
        </w:tc>
        <w:tc>
          <w:tcPr>
            <w:tcW w:w="1500" w:type="dxa"/>
            <w:tcBorders>
              <w:bottom w:val="single" w:sz="4" w:space="0" w:color="auto"/>
              <w:right w:val="single" w:sz="8"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20</w:t>
            </w:r>
          </w:p>
        </w:tc>
      </w:tr>
      <w:tr w:rsidR="00CE44EA" w:rsidRPr="00CE44EA" w:rsidTr="00CE44EA">
        <w:trPr>
          <w:trHeight w:val="225"/>
        </w:trPr>
        <w:tc>
          <w:tcPr>
            <w:tcW w:w="1500" w:type="dxa"/>
            <w:tcBorders>
              <w:left w:val="single" w:sz="8" w:space="0" w:color="auto"/>
              <w:bottom w:val="single" w:sz="8" w:space="0" w:color="auto"/>
              <w:right w:val="single" w:sz="8" w:space="0" w:color="auto"/>
            </w:tcBorders>
            <w:shd w:val="clear" w:color="auto" w:fill="FFFFFF"/>
            <w:noWrap/>
            <w:tcMar>
              <w:top w:w="15" w:type="dxa"/>
              <w:left w:w="15" w:type="dxa"/>
              <w:bottom w:w="0" w:type="dxa"/>
              <w:right w:w="15" w:type="dxa"/>
            </w:tcMar>
            <w:vAlign w:val="bottom"/>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CC15C</w:t>
            </w:r>
          </w:p>
        </w:tc>
        <w:tc>
          <w:tcPr>
            <w:tcW w:w="2420" w:type="dxa"/>
            <w:tcBorders>
              <w:bottom w:val="single" w:sz="8" w:space="0" w:color="auto"/>
              <w:right w:val="single" w:sz="4"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                              20.981</w:t>
            </w:r>
          </w:p>
        </w:tc>
        <w:tc>
          <w:tcPr>
            <w:tcW w:w="1500" w:type="dxa"/>
            <w:tcBorders>
              <w:bottom w:val="single" w:sz="8" w:space="0" w:color="auto"/>
              <w:right w:val="single" w:sz="8" w:space="0" w:color="auto"/>
            </w:tcBorders>
            <w:shd w:val="clear" w:color="auto" w:fill="FFFFFF"/>
            <w:noWrap/>
            <w:tcMar>
              <w:top w:w="15" w:type="dxa"/>
              <w:left w:w="15" w:type="dxa"/>
              <w:bottom w:w="0" w:type="dxa"/>
              <w:right w:w="15" w:type="dxa"/>
            </w:tcMar>
            <w:vAlign w:val="center"/>
            <w:hideMark/>
          </w:tcPr>
          <w:p w:rsidR="00CE44EA" w:rsidRPr="00CE44EA" w:rsidRDefault="00CE44EA" w:rsidP="00CE44EA">
            <w:pPr>
              <w:spacing w:after="0"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b/>
                <w:bCs/>
                <w:color w:val="000000"/>
                <w:sz w:val="24"/>
                <w:szCs w:val="24"/>
                <w:lang w:eastAsia="es-AR"/>
              </w:rPr>
              <w:t>40</w:t>
            </w:r>
          </w:p>
        </w:tc>
      </w:tr>
    </w:tbl>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Es fundamental que los datos enviados sean correctos, especialmente los números de línea. Cada solicitud se procesa de manera individual y, en caso de que una de las líneas esté incorrecta (por ejemplo, en cuentas con múltiples líneas), el pedido completo se invalida y debe iniciarse nuevamente desde cero, incluyendo el reenvío de SIM.</w:t>
      </w:r>
    </w:p>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xml:space="preserve">Una vez procesadas las solicitudes, los SIM físicos serán enviados al </w:t>
      </w:r>
      <w:r>
        <w:rPr>
          <w:rFonts w:ascii="Calibri" w:eastAsia="Times New Roman" w:hAnsi="Calibri" w:cs="Calibri"/>
          <w:color w:val="000000"/>
          <w:sz w:val="24"/>
          <w:szCs w:val="24"/>
          <w:lang w:eastAsia="es-AR"/>
        </w:rPr>
        <w:t>Colegio. Desde allí, serán</w:t>
      </w:r>
      <w:r w:rsidRPr="00CE44EA">
        <w:rPr>
          <w:rFonts w:ascii="Calibri" w:eastAsia="Times New Roman" w:hAnsi="Calibri" w:cs="Calibri"/>
          <w:color w:val="000000"/>
          <w:sz w:val="24"/>
          <w:szCs w:val="24"/>
          <w:lang w:eastAsia="es-AR"/>
        </w:rPr>
        <w:t xml:space="preserve"> entregados a cada asociado. Cuando los usuarios tengan el SIM en su poder, deberán informarlo para poder avanzar con el proceso de portabilidad. Todo se gestiona vía e-Mail</w:t>
      </w:r>
      <w:r>
        <w:rPr>
          <w:rFonts w:ascii="Calibri" w:eastAsia="Times New Roman" w:hAnsi="Calibri" w:cs="Calibri"/>
          <w:color w:val="000000"/>
          <w:sz w:val="24"/>
          <w:szCs w:val="24"/>
          <w:lang w:eastAsia="es-AR"/>
        </w:rPr>
        <w:t xml:space="preserve"> (</w:t>
      </w:r>
      <w:r w:rsidRPr="00CE44EA">
        <w:rPr>
          <w:rFonts w:ascii="Calibri" w:eastAsia="Times New Roman" w:hAnsi="Calibri" w:cs="Calibri"/>
          <w:color w:val="000000"/>
          <w:sz w:val="24"/>
          <w:szCs w:val="24"/>
          <w:lang w:eastAsia="es-AR"/>
        </w:rPr>
        <w:t>ivan.hernandez@claro.com.ar</w:t>
      </w:r>
      <w:r>
        <w:rPr>
          <w:rFonts w:ascii="Calibri" w:eastAsia="Times New Roman" w:hAnsi="Calibri" w:cs="Calibri"/>
          <w:color w:val="000000"/>
          <w:sz w:val="24"/>
          <w:szCs w:val="24"/>
          <w:lang w:eastAsia="es-AR"/>
        </w:rPr>
        <w:t xml:space="preserve">) </w:t>
      </w:r>
      <w:r w:rsidRPr="00CE44EA">
        <w:rPr>
          <w:rFonts w:ascii="Calibri" w:eastAsia="Times New Roman" w:hAnsi="Calibri" w:cs="Calibri"/>
          <w:color w:val="000000"/>
          <w:sz w:val="24"/>
          <w:szCs w:val="24"/>
          <w:lang w:eastAsia="es-AR"/>
        </w:rPr>
        <w:t>por un tema de orden y prolijidad.</w:t>
      </w:r>
    </w:p>
    <w:p w:rsidR="00CE44EA" w:rsidRPr="00CE44EA" w:rsidRDefault="00CE44EA" w:rsidP="00CE44EA">
      <w:pPr>
        <w:shd w:val="clear" w:color="auto" w:fill="FFFFFF"/>
        <w:spacing w:line="240" w:lineRule="auto"/>
        <w:jc w:val="both"/>
        <w:rPr>
          <w:rFonts w:ascii="Calibri" w:eastAsia="Times New Roman" w:hAnsi="Calibri" w:cs="Calibri"/>
          <w:color w:val="000000"/>
          <w:sz w:val="24"/>
          <w:szCs w:val="24"/>
          <w:lang w:eastAsia="es-AR"/>
        </w:rPr>
      </w:pPr>
      <w:r w:rsidRPr="00CE44EA">
        <w:rPr>
          <w:rFonts w:ascii="Calibri" w:eastAsia="Times New Roman" w:hAnsi="Calibri" w:cs="Calibri"/>
          <w:color w:val="000000"/>
          <w:sz w:val="24"/>
          <w:szCs w:val="24"/>
          <w:lang w:eastAsia="es-AR"/>
        </w:rPr>
        <w:t xml:space="preserve">La activación se realiza inicialmente con SIM físico. En caso de requerir </w:t>
      </w:r>
      <w:proofErr w:type="spellStart"/>
      <w:r w:rsidRPr="00CE44EA">
        <w:rPr>
          <w:rFonts w:ascii="Calibri" w:eastAsia="Times New Roman" w:hAnsi="Calibri" w:cs="Calibri"/>
          <w:color w:val="000000"/>
          <w:sz w:val="24"/>
          <w:szCs w:val="24"/>
          <w:lang w:eastAsia="es-AR"/>
        </w:rPr>
        <w:t>eSIM</w:t>
      </w:r>
      <w:proofErr w:type="spellEnd"/>
      <w:r w:rsidRPr="00CE44EA">
        <w:rPr>
          <w:rFonts w:ascii="Calibri" w:eastAsia="Times New Roman" w:hAnsi="Calibri" w:cs="Calibri"/>
          <w:color w:val="000000"/>
          <w:sz w:val="24"/>
          <w:szCs w:val="24"/>
          <w:lang w:eastAsia="es-AR"/>
        </w:rPr>
        <w:t>, la misma podrá gestionarse posteriormente a través del portal de autogestión del Colegio, una vez que la línea ya se encuentre activa en Claro.</w:t>
      </w:r>
      <w:r>
        <w:rPr>
          <w:rFonts w:ascii="Calibri" w:eastAsia="Times New Roman" w:hAnsi="Calibri" w:cs="Calibri"/>
          <w:color w:val="000000"/>
          <w:sz w:val="24"/>
          <w:szCs w:val="24"/>
          <w:lang w:eastAsia="es-AR"/>
        </w:rPr>
        <w:t xml:space="preserve"> </w:t>
      </w:r>
    </w:p>
    <w:p w:rsidR="003A0957" w:rsidRDefault="003A0957" w:rsidP="00CE44EA">
      <w:pPr>
        <w:jc w:val="both"/>
      </w:pPr>
    </w:p>
    <w:sectPr w:rsidR="003A095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792765"/>
    <w:multiLevelType w:val="multilevel"/>
    <w:tmpl w:val="EC9EE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4EA"/>
    <w:rsid w:val="00296752"/>
    <w:rsid w:val="003A0957"/>
    <w:rsid w:val="00CE44E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A8ECA"/>
  <w15:chartTrackingRefBased/>
  <w15:docId w15:val="{80AD3B56-B566-4FB4-BD7A-6ABC67695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44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953968">
      <w:bodyDiv w:val="1"/>
      <w:marLeft w:val="0"/>
      <w:marRight w:val="0"/>
      <w:marTop w:val="0"/>
      <w:marBottom w:val="0"/>
      <w:divBdr>
        <w:top w:val="none" w:sz="0" w:space="0" w:color="auto"/>
        <w:left w:val="none" w:sz="0" w:space="0" w:color="auto"/>
        <w:bottom w:val="none" w:sz="0" w:space="0" w:color="auto"/>
        <w:right w:val="none" w:sz="0" w:space="0" w:color="auto"/>
      </w:divBdr>
      <w:divsChild>
        <w:div w:id="1771201913">
          <w:marLeft w:val="0"/>
          <w:marRight w:val="0"/>
          <w:marTop w:val="240"/>
          <w:marBottom w:val="240"/>
          <w:divBdr>
            <w:top w:val="none" w:sz="0" w:space="0" w:color="auto"/>
            <w:left w:val="none" w:sz="0" w:space="0" w:color="auto"/>
            <w:bottom w:val="none" w:sz="0" w:space="0" w:color="auto"/>
            <w:right w:val="none" w:sz="0" w:space="0" w:color="auto"/>
          </w:divBdr>
        </w:div>
        <w:div w:id="151340588">
          <w:marLeft w:val="0"/>
          <w:marRight w:val="0"/>
          <w:marTop w:val="240"/>
          <w:marBottom w:val="240"/>
          <w:divBdr>
            <w:top w:val="none" w:sz="0" w:space="0" w:color="auto"/>
            <w:left w:val="none" w:sz="0" w:space="0" w:color="auto"/>
            <w:bottom w:val="none" w:sz="0" w:space="0" w:color="auto"/>
            <w:right w:val="none" w:sz="0" w:space="0" w:color="auto"/>
          </w:divBdr>
        </w:div>
        <w:div w:id="317346644">
          <w:marLeft w:val="0"/>
          <w:marRight w:val="0"/>
          <w:marTop w:val="240"/>
          <w:marBottom w:val="240"/>
          <w:divBdr>
            <w:top w:val="none" w:sz="0" w:space="0" w:color="auto"/>
            <w:left w:val="none" w:sz="0" w:space="0" w:color="auto"/>
            <w:bottom w:val="none" w:sz="0" w:space="0" w:color="auto"/>
            <w:right w:val="none" w:sz="0" w:space="0" w:color="auto"/>
          </w:divBdr>
        </w:div>
        <w:div w:id="237248378">
          <w:marLeft w:val="0"/>
          <w:marRight w:val="0"/>
          <w:marTop w:val="0"/>
          <w:marBottom w:val="0"/>
          <w:divBdr>
            <w:top w:val="none" w:sz="0" w:space="0" w:color="auto"/>
            <w:left w:val="none" w:sz="0" w:space="0" w:color="auto"/>
            <w:bottom w:val="none" w:sz="0" w:space="0" w:color="auto"/>
            <w:right w:val="none" w:sz="0" w:space="0" w:color="auto"/>
          </w:divBdr>
        </w:div>
        <w:div w:id="360017276">
          <w:marLeft w:val="0"/>
          <w:marRight w:val="0"/>
          <w:marTop w:val="240"/>
          <w:marBottom w:val="240"/>
          <w:divBdr>
            <w:top w:val="none" w:sz="0" w:space="0" w:color="auto"/>
            <w:left w:val="none" w:sz="0" w:space="0" w:color="auto"/>
            <w:bottom w:val="none" w:sz="0" w:space="0" w:color="auto"/>
            <w:right w:val="none" w:sz="0" w:space="0" w:color="auto"/>
          </w:divBdr>
        </w:div>
        <w:div w:id="1198086705">
          <w:marLeft w:val="0"/>
          <w:marRight w:val="0"/>
          <w:marTop w:val="0"/>
          <w:marBottom w:val="0"/>
          <w:divBdr>
            <w:top w:val="none" w:sz="0" w:space="0" w:color="auto"/>
            <w:left w:val="none" w:sz="0" w:space="0" w:color="auto"/>
            <w:bottom w:val="none" w:sz="0" w:space="0" w:color="auto"/>
            <w:right w:val="none" w:sz="0" w:space="0" w:color="auto"/>
          </w:divBdr>
        </w:div>
        <w:div w:id="681665082">
          <w:marLeft w:val="0"/>
          <w:marRight w:val="0"/>
          <w:marTop w:val="0"/>
          <w:marBottom w:val="0"/>
          <w:divBdr>
            <w:top w:val="none" w:sz="0" w:space="0" w:color="auto"/>
            <w:left w:val="none" w:sz="0" w:space="0" w:color="auto"/>
            <w:bottom w:val="none" w:sz="0" w:space="0" w:color="auto"/>
            <w:right w:val="none" w:sz="0" w:space="0" w:color="auto"/>
          </w:divBdr>
        </w:div>
        <w:div w:id="1918981854">
          <w:marLeft w:val="0"/>
          <w:marRight w:val="0"/>
          <w:marTop w:val="0"/>
          <w:marBottom w:val="0"/>
          <w:divBdr>
            <w:top w:val="none" w:sz="0" w:space="0" w:color="auto"/>
            <w:left w:val="none" w:sz="0" w:space="0" w:color="auto"/>
            <w:bottom w:val="none" w:sz="0" w:space="0" w:color="auto"/>
            <w:right w:val="none" w:sz="0" w:space="0" w:color="auto"/>
          </w:divBdr>
        </w:div>
        <w:div w:id="529952019">
          <w:marLeft w:val="0"/>
          <w:marRight w:val="0"/>
          <w:marTop w:val="0"/>
          <w:marBottom w:val="0"/>
          <w:divBdr>
            <w:top w:val="none" w:sz="0" w:space="0" w:color="auto"/>
            <w:left w:val="none" w:sz="0" w:space="0" w:color="auto"/>
            <w:bottom w:val="none" w:sz="0" w:space="0" w:color="auto"/>
            <w:right w:val="none" w:sz="0" w:space="0" w:color="auto"/>
          </w:divBdr>
        </w:div>
        <w:div w:id="560560645">
          <w:marLeft w:val="0"/>
          <w:marRight w:val="0"/>
          <w:marTop w:val="0"/>
          <w:marBottom w:val="0"/>
          <w:divBdr>
            <w:top w:val="none" w:sz="0" w:space="0" w:color="auto"/>
            <w:left w:val="none" w:sz="0" w:space="0" w:color="auto"/>
            <w:bottom w:val="none" w:sz="0" w:space="0" w:color="auto"/>
            <w:right w:val="none" w:sz="0" w:space="0" w:color="auto"/>
          </w:divBdr>
        </w:div>
        <w:div w:id="832456887">
          <w:marLeft w:val="0"/>
          <w:marRight w:val="0"/>
          <w:marTop w:val="0"/>
          <w:marBottom w:val="0"/>
          <w:divBdr>
            <w:top w:val="none" w:sz="0" w:space="0" w:color="auto"/>
            <w:left w:val="none" w:sz="0" w:space="0" w:color="auto"/>
            <w:bottom w:val="none" w:sz="0" w:space="0" w:color="auto"/>
            <w:right w:val="none" w:sz="0" w:space="0" w:color="auto"/>
          </w:divBdr>
        </w:div>
        <w:div w:id="714499544">
          <w:marLeft w:val="0"/>
          <w:marRight w:val="0"/>
          <w:marTop w:val="0"/>
          <w:marBottom w:val="0"/>
          <w:divBdr>
            <w:top w:val="none" w:sz="0" w:space="0" w:color="auto"/>
            <w:left w:val="none" w:sz="0" w:space="0" w:color="auto"/>
            <w:bottom w:val="none" w:sz="0" w:space="0" w:color="auto"/>
            <w:right w:val="none" w:sz="0" w:space="0" w:color="auto"/>
          </w:divBdr>
        </w:div>
        <w:div w:id="915747184">
          <w:marLeft w:val="0"/>
          <w:marRight w:val="0"/>
          <w:marTop w:val="240"/>
          <w:marBottom w:val="240"/>
          <w:divBdr>
            <w:top w:val="none" w:sz="0" w:space="0" w:color="auto"/>
            <w:left w:val="none" w:sz="0" w:space="0" w:color="auto"/>
            <w:bottom w:val="none" w:sz="0" w:space="0" w:color="auto"/>
            <w:right w:val="none" w:sz="0" w:space="0" w:color="auto"/>
          </w:divBdr>
        </w:div>
        <w:div w:id="995915719">
          <w:marLeft w:val="0"/>
          <w:marRight w:val="0"/>
          <w:marTop w:val="240"/>
          <w:marBottom w:val="240"/>
          <w:divBdr>
            <w:top w:val="none" w:sz="0" w:space="0" w:color="auto"/>
            <w:left w:val="none" w:sz="0" w:space="0" w:color="auto"/>
            <w:bottom w:val="none" w:sz="0" w:space="0" w:color="auto"/>
            <w:right w:val="none" w:sz="0" w:space="0" w:color="auto"/>
          </w:divBdr>
        </w:div>
        <w:div w:id="756101164">
          <w:marLeft w:val="0"/>
          <w:marRight w:val="0"/>
          <w:marTop w:val="240"/>
          <w:marBottom w:val="240"/>
          <w:divBdr>
            <w:top w:val="none" w:sz="0" w:space="0" w:color="auto"/>
            <w:left w:val="none" w:sz="0" w:space="0" w:color="auto"/>
            <w:bottom w:val="none" w:sz="0" w:space="0" w:color="auto"/>
            <w:right w:val="none" w:sz="0" w:space="0" w:color="auto"/>
          </w:divBdr>
        </w:div>
        <w:div w:id="331952553">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van.hernandez@claro.com.ar"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331</Words>
  <Characters>1824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de Magistrados</dc:creator>
  <cp:keywords/>
  <dc:description/>
  <cp:lastModifiedBy>C. de Magistrados</cp:lastModifiedBy>
  <cp:revision>1</cp:revision>
  <dcterms:created xsi:type="dcterms:W3CDTF">2026-04-01T12:01:00Z</dcterms:created>
  <dcterms:modified xsi:type="dcterms:W3CDTF">2026-04-01T12:12:00Z</dcterms:modified>
</cp:coreProperties>
</file>